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8E2DF" w14:textId="77777777" w:rsidR="004C68E8" w:rsidRDefault="004C68E8">
      <w:pPr>
        <w:pStyle w:val="normal0"/>
        <w:ind w:left="-142"/>
      </w:pPr>
    </w:p>
    <w:p w14:paraId="3534344B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</w:rPr>
      </w:pPr>
    </w:p>
    <w:p w14:paraId="2EC6EC53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650625" w14:textId="77777777" w:rsidR="004C68E8" w:rsidRDefault="00220BAB">
      <w:pPr>
        <w:pStyle w:val="normal0"/>
        <w:spacing w:line="360" w:lineRule="auto"/>
        <w:ind w:right="3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0" distB="0" distL="114300" distR="114300" wp14:anchorId="4539C3D2" wp14:editId="541A386A">
            <wp:extent cx="6637655" cy="16116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161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A972AF" w14:textId="77777777" w:rsidR="004C68E8" w:rsidRDefault="004C68E8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25A19B16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5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CaPPa 2018</w:t>
      </w:r>
    </w:p>
    <w:p w14:paraId="43C769F7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43913CD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Colóquio de Apresentação de Produções Acadêmicas divulga a chamada de trabalhos para o evento que se realizará de 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a 2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de maio de 2018, prioritariamente no período vespertino, na Faculdade de Informação e Comunicação da Universidade Federal de Goiás, em Goiânia, Goiás, Brasil. </w:t>
      </w:r>
    </w:p>
    <w:p w14:paraId="2CB98EF8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5AE7E5B" w14:textId="77777777" w:rsidR="004C68E8" w:rsidRDefault="00220BA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 Do Tema</w:t>
      </w:r>
    </w:p>
    <w:p w14:paraId="72326716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Neste ano de 2018, o Curso de Comunicação Social – Publicidade e Propaganda da Facu</w:t>
      </w:r>
      <w:r>
        <w:rPr>
          <w:rFonts w:ascii="Arial" w:eastAsia="Arial" w:hAnsi="Arial" w:cs="Arial"/>
          <w:sz w:val="22"/>
          <w:szCs w:val="22"/>
        </w:rPr>
        <w:t>ldade de Informação e Comunicação, da Universidade Federal de Goiás tem diversas razões para observar as produções acadêmicas de docentes, discentes e suas parceiras com pesquisadores externos. Tem recém completos vinte anos de existência, inicia um curríc</w:t>
      </w:r>
      <w:r>
        <w:rPr>
          <w:rFonts w:ascii="Arial" w:eastAsia="Arial" w:hAnsi="Arial" w:cs="Arial"/>
          <w:sz w:val="22"/>
          <w:szCs w:val="22"/>
        </w:rPr>
        <w:t>ulo novo cuja construção do conhecimento diversifica as opções discentes na graduação em quatro eixos temáticos (Epistemológico, Imagem e Som, Criativo e Estratégico), vivencia uma renovação em termos pesquisa com o doutoramento docente e, como consequênci</w:t>
      </w:r>
      <w:r>
        <w:rPr>
          <w:rFonts w:ascii="Arial" w:eastAsia="Arial" w:hAnsi="Arial" w:cs="Arial"/>
          <w:sz w:val="22"/>
          <w:szCs w:val="22"/>
        </w:rPr>
        <w:t xml:space="preserve">a de um trabalho sistemático, conquistou a pontuação máxima (5) no </w:t>
      </w:r>
      <w:r>
        <w:rPr>
          <w:rFonts w:ascii="Arial" w:eastAsia="Arial" w:hAnsi="Arial" w:cs="Arial"/>
          <w:sz w:val="22"/>
          <w:szCs w:val="22"/>
          <w:highlight w:val="white"/>
        </w:rPr>
        <w:t>Exame Nacional de Desempenho de Estudantes (Enade), que avalia o rendimento dos alunos dos cursos de graduação com o objetivo de avaliar a qualidade da formação. Neste espírito de aperfeiço</w:t>
      </w:r>
      <w:r>
        <w:rPr>
          <w:rFonts w:ascii="Arial" w:eastAsia="Arial" w:hAnsi="Arial" w:cs="Arial"/>
          <w:sz w:val="22"/>
          <w:szCs w:val="22"/>
          <w:highlight w:val="white"/>
        </w:rPr>
        <w:t>amento da formação, a quinta edição do Colóquio de Apresentação de Produções Acadêmicas do Curso de Comunicação Social – Publicidade e Propaganda amplia seus horizontes abrindo chamada pública de trabalhos que dialoguem com a temática dos GTs divulgados ne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ste edital e publicizados no site https://cappa.fic.ufg.br. </w:t>
      </w:r>
    </w:p>
    <w:p w14:paraId="12A9A4C4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122AABA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2. Da estrutura </w:t>
      </w:r>
    </w:p>
    <w:p w14:paraId="79FC6BE5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 evento será organizado com 1 (uma) conferência de abertura e 1 (uma) de fechamento com duração de, no máximo, 1 hora. Para ambas, docentes do curso de Comunicação Social – Pub</w:t>
      </w:r>
      <w:r>
        <w:rPr>
          <w:rFonts w:ascii="Arial" w:eastAsia="Arial" w:hAnsi="Arial" w:cs="Arial"/>
          <w:sz w:val="22"/>
          <w:szCs w:val="22"/>
          <w:highlight w:val="white"/>
        </w:rPr>
        <w:t>licidade e Propaganda e de Universidades parceiras serão convidados a apresentar recortes de suas pesquisas de doutoramento como estratégia de compartilhamento de conhecimento. Após as conferências, o público será convidado a participar dos Grupos de Traba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lhos (GTs), que contarão com a apresentação oral de produções acadêmicas aceitas no evento. </w:t>
      </w:r>
    </w:p>
    <w:p w14:paraId="63C43796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 proponentes do GTs são os seus coordenadores e são responsáveis por moderar as apresentações das comunicações orais. Cada GT aceitará até 12 trabalhos. Cada par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ticipante terá, no </w:t>
      </w:r>
      <w:r>
        <w:rPr>
          <w:rFonts w:ascii="Arial" w:eastAsia="Arial" w:hAnsi="Arial" w:cs="Arial"/>
          <w:sz w:val="22"/>
          <w:szCs w:val="22"/>
          <w:highlight w:val="white"/>
        </w:rPr>
        <w:lastRenderedPageBreak/>
        <w:t>máximo, 15 (quinze) minutos para a comunicação de seu trabalho. Os coordenadores dos GTs deverão reservar para o final de cada mesa, no mínimo, 15 (quinze) minutos para debate.</w:t>
      </w:r>
    </w:p>
    <w:p w14:paraId="79955805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São estes os GTs:</w:t>
      </w:r>
    </w:p>
    <w:p w14:paraId="715EB28C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58F49314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GT1  Marketing, Estratégia e Contemporane</w:t>
      </w:r>
      <w:r>
        <w:rPr>
          <w:rFonts w:ascii="Arial" w:eastAsia="Arial" w:hAnsi="Arial" w:cs="Arial"/>
          <w:b/>
          <w:sz w:val="22"/>
          <w:szCs w:val="22"/>
        </w:rPr>
        <w:t>idade</w:t>
      </w:r>
    </w:p>
    <w:p w14:paraId="39BB4799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 grupo de trabalho se interessa por pesquisas e análises/elementos práticos que discutam ou apresentem como o marketing, a comunicação, o planejamento estratégico, a inteligência competitiva, dentre outros, têm sido utilizados para a gestão conte</w:t>
      </w:r>
      <w:r>
        <w:rPr>
          <w:rFonts w:ascii="Arial" w:eastAsia="Arial" w:hAnsi="Arial" w:cs="Arial"/>
          <w:sz w:val="22"/>
          <w:szCs w:val="22"/>
        </w:rPr>
        <w:t>mporânea das marcas, do marketing e da comunicação. </w:t>
      </w:r>
    </w:p>
    <w:p w14:paraId="60B6908C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6D42E23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GT2 Caiu na rede, ainda é cinema?</w:t>
      </w:r>
    </w:p>
    <w:p w14:paraId="24FAE868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 grupo de trabalho se interessa por experimentações práticas e análises de produções audiovisuais que tratem das relações entre o au</w:t>
      </w:r>
      <w:r>
        <w:rPr>
          <w:rFonts w:ascii="Arial" w:eastAsia="Arial" w:hAnsi="Arial" w:cs="Arial"/>
          <w:sz w:val="22"/>
          <w:szCs w:val="22"/>
        </w:rPr>
        <w:t xml:space="preserve">diovisual e as streamings de difusão de </w:t>
      </w:r>
      <w:r>
        <w:rPr>
          <w:rFonts w:ascii="Arial" w:eastAsia="Arial" w:hAnsi="Arial" w:cs="Arial"/>
          <w:sz w:val="22"/>
          <w:szCs w:val="22"/>
        </w:rPr>
        <w:t>narrativas pel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rede mundial de computadores. Abrimos espa</w:t>
      </w:r>
      <w:r>
        <w:rPr>
          <w:rFonts w:ascii="Arial" w:eastAsia="Arial" w:hAnsi="Arial" w:cs="Arial"/>
          <w:sz w:val="22"/>
          <w:szCs w:val="22"/>
        </w:rPr>
        <w:t xml:space="preserve">ço para discussão produções e análise de audiovisual, compreendendo o vídeo, a TV e o cinema, mas também </w:t>
      </w:r>
      <w:r>
        <w:rPr>
          <w:rFonts w:ascii="Arial" w:eastAsia="Arial" w:hAnsi="Arial" w:cs="Arial"/>
          <w:sz w:val="22"/>
          <w:szCs w:val="22"/>
        </w:rPr>
        <w:t>arte contemporânea, mídias interativas, todas estas n</w:t>
      </w:r>
      <w:r>
        <w:rPr>
          <w:rFonts w:ascii="Arial" w:eastAsia="Arial" w:hAnsi="Arial" w:cs="Arial"/>
          <w:sz w:val="22"/>
          <w:szCs w:val="22"/>
        </w:rPr>
        <w:t>arrativas dissemina</w:t>
      </w:r>
      <w:r>
        <w:rPr>
          <w:rFonts w:ascii="Arial" w:eastAsia="Arial" w:hAnsi="Arial" w:cs="Arial"/>
          <w:sz w:val="22"/>
          <w:szCs w:val="22"/>
        </w:rPr>
        <w:t xml:space="preserve">das </w:t>
      </w:r>
      <w:r>
        <w:rPr>
          <w:rFonts w:ascii="Arial" w:eastAsia="Arial" w:hAnsi="Arial" w:cs="Arial"/>
          <w:sz w:val="22"/>
          <w:szCs w:val="22"/>
        </w:rPr>
        <w:t xml:space="preserve">no contexto das tecnologias digitais. </w:t>
      </w:r>
    </w:p>
    <w:p w14:paraId="48B2A2A4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81644A6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GT3 Criatividade em prática</w:t>
      </w:r>
    </w:p>
    <w:p w14:paraId="59544A54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Processos criativos em publicidade. Produções audiovisuais (não necessariamente publicitárias). Criação de aplicativos e interfaces digitais. Este Grupo de Trabalho se interessa por produções que tragam os processos de criatividade materializados em peças </w:t>
      </w:r>
      <w:r>
        <w:rPr>
          <w:rFonts w:ascii="Arial" w:eastAsia="Arial" w:hAnsi="Arial" w:cs="Arial"/>
          <w:sz w:val="22"/>
          <w:szCs w:val="22"/>
        </w:rPr>
        <w:t>gráficas, audiovisuais, digitais, campanhas, conceitos de comunicação e identidade visual. No resumo expandido devem ser apresentados fundamentos teóricos utilizados para o processo criativo e/ou produção dos materiais.  </w:t>
      </w:r>
    </w:p>
    <w:p w14:paraId="11B450EF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D91A130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GT4 Comunicação, Narrativa e Tecn</w:t>
      </w:r>
      <w:r>
        <w:rPr>
          <w:rFonts w:ascii="Arial" w:eastAsia="Arial" w:hAnsi="Arial" w:cs="Arial"/>
          <w:b/>
          <w:color w:val="222222"/>
          <w:sz w:val="22"/>
          <w:szCs w:val="22"/>
        </w:rPr>
        <w:t>ologia</w:t>
      </w:r>
    </w:p>
    <w:p w14:paraId="66E18966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Storytelling e gameficiação. Videogame como mídia narrativa. Design, cidades e cartografias digitais. Narrativa, criação e produção em publicidade. Novas tecnologias e os novos modos de se contar uma história. </w:t>
      </w:r>
    </w:p>
    <w:p w14:paraId="7560FB86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49E2BFB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GT5 Imagem Fotográfica</w:t>
      </w:r>
    </w:p>
    <w:p w14:paraId="630A1007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Pesquisas teór</w:t>
      </w:r>
      <w:r>
        <w:rPr>
          <w:rFonts w:ascii="Arial" w:eastAsia="Arial" w:hAnsi="Arial" w:cs="Arial"/>
          <w:color w:val="222222"/>
          <w:sz w:val="22"/>
          <w:szCs w:val="22"/>
        </w:rPr>
        <w:t>ico-práticas na área da fotografia. Abordagens históricas e estéticas, a partir de textos que reflitam sobre o fazer fotográfico, pela produção de narrativas visuais, ensaios fotográficos artísticos e fotografias publicitárias avulsas ou dentre de uma camp</w:t>
      </w:r>
      <w:r>
        <w:rPr>
          <w:rFonts w:ascii="Arial" w:eastAsia="Arial" w:hAnsi="Arial" w:cs="Arial"/>
          <w:color w:val="222222"/>
          <w:sz w:val="22"/>
          <w:szCs w:val="22"/>
        </w:rPr>
        <w:t>anha publicitária. Análise de imagens fotográficas a fim de pensá-las como participantes de práticas sociais e culturais.</w:t>
      </w:r>
    </w:p>
    <w:p w14:paraId="1415C033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217B2E55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DAD4980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4BE96614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53FDD80B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4C560279" w14:textId="77777777" w:rsidR="004C68E8" w:rsidRDefault="004C68E8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1AA9CC0D" w14:textId="77777777" w:rsidR="004C68E8" w:rsidRDefault="004C68E8">
      <w:pPr>
        <w:pStyle w:val="normal0"/>
        <w:jc w:val="both"/>
        <w:rPr>
          <w:rFonts w:ascii="Times" w:eastAsia="Times" w:hAnsi="Times" w:cs="Times"/>
          <w:sz w:val="20"/>
          <w:szCs w:val="20"/>
        </w:rPr>
      </w:pPr>
    </w:p>
    <w:p w14:paraId="7F05DE5E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lastRenderedPageBreak/>
        <w:t xml:space="preserve">2.1 Da inscrição </w:t>
      </w:r>
    </w:p>
    <w:p w14:paraId="1F30BF93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 evento oferece 2 (duas) modalidades de participação: com apresentação de comunicação e como ouvinte, sendo ambas certificadas para fins de horas complementares. Nas duas modalidades de participação, é obrigatório fazer inscrição pelo formulário, no segui</w:t>
      </w:r>
      <w:r>
        <w:rPr>
          <w:rFonts w:ascii="Arial" w:eastAsia="Arial" w:hAnsi="Arial" w:cs="Arial"/>
          <w:sz w:val="22"/>
          <w:szCs w:val="22"/>
          <w:highlight w:val="white"/>
        </w:rPr>
        <w:t>nte link:</w:t>
      </w:r>
      <w:r>
        <w:rPr>
          <w:rFonts w:ascii="Arial" w:eastAsia="Arial" w:hAnsi="Arial" w:cs="Arial"/>
          <w:color w:val="0000FF"/>
          <w:sz w:val="22"/>
          <w:szCs w:val="22"/>
          <w:highlight w:val="white"/>
        </w:rPr>
        <w:t xml:space="preserve">&lt;https://goo.gl/forms/QAJqWMOrYk7OxuLM2&gt;. </w:t>
      </w:r>
    </w:p>
    <w:p w14:paraId="2C3234F5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D266A95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 modalidade de participação com apresentação de comunicação dev</w:t>
      </w:r>
      <w:r>
        <w:rPr>
          <w:rFonts w:ascii="Arial" w:eastAsia="Arial" w:hAnsi="Arial" w:cs="Arial"/>
          <w:sz w:val="22"/>
          <w:szCs w:val="22"/>
          <w:highlight w:val="white"/>
        </w:rPr>
        <w:t>e usar o template do evento disponível nos anexos deste edital. A comunicação deve ser salva em um drive e gerar um link compartilhável com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o email do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CAPPA - Colóquio Apresentação de Produções Acadêmicas</w:t>
      </w:r>
      <w:r>
        <w:rPr>
          <w:rFonts w:ascii="Arial" w:eastAsia="Arial" w:hAnsi="Arial" w:cs="Arial"/>
          <w:sz w:val="22"/>
          <w:szCs w:val="22"/>
          <w:highlight w:val="white"/>
        </w:rPr>
        <w:t> &lt;cappa.ufg@gmail.com&gt;. O link do texto submetido ser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á solicitado na hora de preencher o formulário de inscrição. </w:t>
      </w:r>
      <w:r>
        <w:rPr>
          <w:rFonts w:ascii="Arial" w:eastAsia="Arial" w:hAnsi="Arial" w:cs="Arial"/>
          <w:sz w:val="22"/>
          <w:szCs w:val="22"/>
          <w:highlight w:val="white"/>
        </w:rPr>
        <w:t>Somente os autores inscritos terão suas comunicações avaliadas. As normas par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 submissão de trabalhos exigidas e os formatos das comunicações devem ser observados sob pena dos trabalhos serem recusados. </w:t>
      </w:r>
    </w:p>
    <w:p w14:paraId="65D385DB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Cada autor e cada co-autor podem se inscrever com, no máximo, dois trabalhos, podendo ser do mesmo GT ou de GTs diferentes.</w:t>
      </w:r>
    </w:p>
    <w:p w14:paraId="7EC31771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D67580B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Obs.</w:t>
      </w:r>
      <w:r>
        <w:rPr>
          <w:rFonts w:ascii="Arial" w:eastAsia="Arial" w:hAnsi="Arial" w:cs="Arial"/>
          <w:sz w:val="22"/>
          <w:szCs w:val="22"/>
          <w:highlight w:val="white"/>
        </w:rPr>
        <w:t>:</w:t>
      </w:r>
      <w: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Haverá inscrição para ouvintes de acordo com as vagas disponíveis.</w:t>
      </w:r>
    </w:p>
    <w:p w14:paraId="20A95991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1BDDD2AA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2.2 Das Publicações</w:t>
      </w:r>
    </w:p>
    <w:p w14:paraId="27E78612" w14:textId="77777777" w:rsidR="004C68E8" w:rsidRDefault="00220BAB">
      <w:pPr>
        <w:pStyle w:val="normal0"/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As comunicações aprovadas e efetivamente apresentadas durante o 5</w:t>
      </w:r>
      <w:r>
        <w:rPr>
          <w:rFonts w:ascii="Arial" w:eastAsia="Arial" w:hAnsi="Arial" w:cs="Arial"/>
          <w:color w:val="222222"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Colóquio para Apresentação de Produções Acadêmicas (CaPPa) serão publicadas integralmente nos Anais, desde que cumpram todas as exigências deste Edital.</w:t>
      </w:r>
    </w:p>
    <w:p w14:paraId="780F30DC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79D25D55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2.3 Dos Formatos das Comunicações e Normas de Submissão</w:t>
      </w:r>
    </w:p>
    <w:p w14:paraId="165377FF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 evento aceita os seguintes formatos de comu</w:t>
      </w:r>
      <w:r>
        <w:rPr>
          <w:rFonts w:ascii="Arial" w:eastAsia="Arial" w:hAnsi="Arial" w:cs="Arial"/>
          <w:sz w:val="22"/>
          <w:szCs w:val="22"/>
          <w:highlight w:val="white"/>
        </w:rPr>
        <w:t>nicações</w:t>
      </w:r>
      <w:r>
        <w:rPr>
          <w:rFonts w:ascii="Arial" w:eastAsia="Arial" w:hAnsi="Arial" w:cs="Arial"/>
          <w:i/>
          <w:sz w:val="22"/>
          <w:szCs w:val="22"/>
          <w:highlight w:val="white"/>
        </w:rPr>
        <w:t>: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</w:p>
    <w:p w14:paraId="1B2F3DB1" w14:textId="77777777" w:rsidR="004C68E8" w:rsidRDefault="004C68E8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7E5E70C9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Projetos Experimentais</w:t>
      </w:r>
      <w:r>
        <w:rPr>
          <w:rFonts w:ascii="Arial" w:eastAsia="Arial" w:hAnsi="Arial" w:cs="Arial"/>
          <w:sz w:val="22"/>
          <w:szCs w:val="22"/>
        </w:rPr>
        <w:t xml:space="preserve"> – oriundos de projetos teórico-práticos realizados dentro de disciplinas e projetos de pesquisa e extensão.</w:t>
      </w:r>
    </w:p>
    <w:p w14:paraId="0819C5C9" w14:textId="77777777" w:rsidR="004C68E8" w:rsidRDefault="00220BAB">
      <w:pPr>
        <w:pStyle w:val="normal0"/>
        <w:numPr>
          <w:ilvl w:val="1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Relatório de 5 a 7 páginas, fonte Times New Roman, entrelinha 1,5, seguindo o template e as normas do anexo 1. </w:t>
      </w:r>
    </w:p>
    <w:p w14:paraId="5FC55FBF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Artigos</w:t>
      </w:r>
      <w:r>
        <w:rPr>
          <w:rFonts w:ascii="Arial" w:eastAsia="Arial" w:hAnsi="Arial" w:cs="Arial"/>
          <w:sz w:val="22"/>
          <w:szCs w:val="22"/>
        </w:rPr>
        <w:t xml:space="preserve"> – oriundos de discussões e análises teórico-práticas realizadas dentro de disciplinas e projetos de pesquisa e extensão.</w:t>
      </w:r>
    </w:p>
    <w:p w14:paraId="31F71747" w14:textId="77777777" w:rsidR="004C68E8" w:rsidRDefault="00220BAB">
      <w:pPr>
        <w:pStyle w:val="normal0"/>
        <w:numPr>
          <w:ilvl w:val="1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Normas para produção: Artigo de 8 a 10 páginas, fonte Times New Roman, entrelinha 1,5, seguindo o template e as normas do anexo</w:t>
      </w:r>
      <w:r>
        <w:rPr>
          <w:rFonts w:ascii="Arial" w:eastAsia="Arial" w:hAnsi="Arial" w:cs="Arial"/>
          <w:sz w:val="22"/>
          <w:szCs w:val="22"/>
        </w:rPr>
        <w:t xml:space="preserve"> 2. </w:t>
      </w:r>
    </w:p>
    <w:p w14:paraId="6F44C00E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TCC Destaque</w:t>
      </w:r>
      <w:r>
        <w:rPr>
          <w:rFonts w:ascii="Arial" w:eastAsia="Arial" w:hAnsi="Arial" w:cs="Arial"/>
          <w:sz w:val="22"/>
          <w:szCs w:val="22"/>
        </w:rPr>
        <w:t xml:space="preserve"> – oriundos de indicações feita pelo/a orientador/a do Trabalho de Conclusão de Curso (TCC) para participar dos GTs em posição de destaque pela qualidade da pesquisa, seja ela de natureza monográfica ou experimental. </w:t>
      </w:r>
    </w:p>
    <w:p w14:paraId="3B88BAF1" w14:textId="77777777" w:rsidR="004C68E8" w:rsidRDefault="00220BAB">
      <w:pPr>
        <w:pStyle w:val="normal0"/>
        <w:numPr>
          <w:ilvl w:val="1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Normas para produção:</w:t>
      </w:r>
      <w:r>
        <w:rPr>
          <w:rFonts w:ascii="Arial" w:eastAsia="Arial" w:hAnsi="Arial" w:cs="Arial"/>
          <w:sz w:val="22"/>
          <w:szCs w:val="22"/>
        </w:rPr>
        <w:t xml:space="preserve"> Artigo de 8 a 10 páginas, fonte Times New Roman, entrelinha 1,5, seguindo o template e as normas do anexo 2 (é o mesmo modelo do artigo). </w:t>
      </w:r>
    </w:p>
    <w:p w14:paraId="07789216" w14:textId="77777777" w:rsidR="004C68E8" w:rsidRDefault="004C68E8">
      <w:pPr>
        <w:pStyle w:val="normal0"/>
        <w:spacing w:line="360" w:lineRule="auto"/>
        <w:ind w:left="1800"/>
        <w:jc w:val="both"/>
        <w:rPr>
          <w:rFonts w:ascii="Arial" w:eastAsia="Arial" w:hAnsi="Arial" w:cs="Arial"/>
          <w:sz w:val="22"/>
          <w:szCs w:val="22"/>
        </w:rPr>
      </w:pPr>
    </w:p>
    <w:p w14:paraId="37890400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Projetos de Pesquisa</w:t>
      </w:r>
      <w:r>
        <w:rPr>
          <w:rFonts w:ascii="Arial" w:eastAsia="Arial" w:hAnsi="Arial" w:cs="Arial"/>
          <w:sz w:val="22"/>
          <w:szCs w:val="22"/>
        </w:rPr>
        <w:t xml:space="preserve"> – oriundos de discussões teórico-práticas realizadas dentro de disciplinas e projetos de pesqu</w:t>
      </w:r>
      <w:r>
        <w:rPr>
          <w:rFonts w:ascii="Arial" w:eastAsia="Arial" w:hAnsi="Arial" w:cs="Arial"/>
          <w:sz w:val="22"/>
          <w:szCs w:val="22"/>
        </w:rPr>
        <w:t>isa e extensão.</w:t>
      </w:r>
    </w:p>
    <w:p w14:paraId="1E6B3BB5" w14:textId="77777777" w:rsidR="004C68E8" w:rsidRDefault="00220BAB">
      <w:pPr>
        <w:pStyle w:val="normal0"/>
        <w:numPr>
          <w:ilvl w:val="1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Normas para produção: Projeto de pesquisa 5 a 7 páginas, fonte Times New Roman, entrelinha 1,5, seguindo o template e as normas do anexo 3. </w:t>
      </w:r>
    </w:p>
    <w:p w14:paraId="12DE6214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-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Narrativas Visuais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– oriundas de produções realizadas dentro de disciplinas, projetos de pesquisa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e extensão que discutem a imagem. </w:t>
      </w:r>
    </w:p>
    <w:p w14:paraId="78654C24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 Normas para produção: Texto de 4 a 7 páginas com a descrição da narrativa visual e o seu conceito. Para narrativas visuais com imagens fixas, coloque o número de imagens, formato para impressão e montagem e as imagens da narrativa. Para narrativas visuais</w:t>
      </w:r>
      <w:r>
        <w:rPr>
          <w:rFonts w:ascii="Arial" w:eastAsia="Arial" w:hAnsi="Arial" w:cs="Arial"/>
          <w:sz w:val="22"/>
          <w:szCs w:val="22"/>
        </w:rPr>
        <w:t xml:space="preserve"> com imagens em movimento, coloque a duração e condições para exibição e </w:t>
      </w:r>
      <w:r>
        <w:rPr>
          <w:rFonts w:ascii="Arial" w:eastAsia="Arial" w:hAnsi="Arial" w:cs="Arial"/>
          <w:i/>
          <w:sz w:val="22"/>
          <w:szCs w:val="22"/>
        </w:rPr>
        <w:t>prints</w:t>
      </w:r>
      <w:r>
        <w:rPr>
          <w:rFonts w:ascii="Arial" w:eastAsia="Arial" w:hAnsi="Arial" w:cs="Arial"/>
          <w:sz w:val="22"/>
          <w:szCs w:val="22"/>
        </w:rPr>
        <w:t xml:space="preserve"> de cenas. fonte Times New Roman, entrelinha 1,5, seguindo o template e as normas do anexo 4.</w:t>
      </w:r>
    </w:p>
    <w:p w14:paraId="6126E7BA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2C94C514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PRÊMIO MELHOR NARRATIVA VISUAL</w:t>
      </w:r>
    </w:p>
    <w:p w14:paraId="6259696E" w14:textId="77777777" w:rsidR="004C68E8" w:rsidRDefault="00220BAB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>A melhor narrativa visual será indicada para participar de uma segunda seleção a fim de compor a exposição coletiva dos pesquisadores-artistas do Núcleo de Pesquisa em Teoria da Imagem (NPTI) que ocorrerá no segundo semestre de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</w:p>
    <w:p w14:paraId="1B2E80A6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20A120E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Obs.: Em todos os for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matos de comunicações, a submissão deve ser feita no template (vide anexos 1 a 4) do evento sob pena do trabalho ser excluído.  </w:t>
      </w:r>
    </w:p>
    <w:p w14:paraId="3763944E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23D396D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2.4 Da Avaliação dos Trabalhos </w:t>
      </w:r>
    </w:p>
    <w:p w14:paraId="01D0A9D9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Os trabalhos submetidos ao 5</w:t>
      </w:r>
      <w:r>
        <w:rPr>
          <w:rFonts w:ascii="Arial" w:eastAsia="Arial" w:hAnsi="Arial" w:cs="Arial"/>
          <w:sz w:val="22"/>
          <w:szCs w:val="22"/>
          <w:highlight w:val="white"/>
          <w:vertAlign w:val="superscript"/>
        </w:rPr>
        <w:t>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CaPPa serão avaliados por meio de parecer cego pela comissão cie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ntífica do evento, podendo ser: a) aceito; b) aceito com correções ou c) recusado. Caso o trabalho seja aceito com correções (opção b), o mesmo deverá ser corrigido de acordo com as indicações dos pareceristas e reenviado ao email do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5</w:t>
      </w:r>
      <w:r>
        <w:rPr>
          <w:rFonts w:ascii="Arial" w:eastAsia="Arial" w:hAnsi="Arial" w:cs="Arial"/>
          <w:b/>
          <w:sz w:val="22"/>
          <w:szCs w:val="22"/>
          <w:highlight w:val="white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CAPPA - Colóquio Ap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resentação de Produções Acadêmicas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 &lt;cappa.ufg@gmail.com&gt; para nova avaliação. Caso não seja reenviado, o trabalho está excluído do evento. </w:t>
      </w:r>
    </w:p>
    <w:p w14:paraId="3D10937F" w14:textId="77777777" w:rsidR="004C68E8" w:rsidRDefault="004C68E8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3FF73950" w14:textId="77777777" w:rsidR="004C68E8" w:rsidRDefault="00220BAB">
      <w:pPr>
        <w:pStyle w:val="normal0"/>
        <w:shd w:val="clear" w:color="auto" w:fill="FFFFFF"/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2.5 Do Cronograma </w:t>
      </w:r>
    </w:p>
    <w:p w14:paraId="0A5E7D85" w14:textId="77777777" w:rsidR="004C68E8" w:rsidRDefault="00220BAB">
      <w:pPr>
        <w:pStyle w:val="normal0"/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Até 20 de abril de 2018: data limite para inscrição com apresentação de comunicação.</w:t>
      </w:r>
    </w:p>
    <w:p w14:paraId="6602076B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Até 20 de abril de 2018: data limite para submissão de comunicações ao email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do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5</w:t>
      </w:r>
      <w:r>
        <w:rPr>
          <w:rFonts w:ascii="Arial" w:eastAsia="Arial" w:hAnsi="Arial" w:cs="Arial"/>
          <w:b/>
          <w:sz w:val="22"/>
          <w:szCs w:val="22"/>
          <w:highlight w:val="white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CAPPA – </w:t>
      </w:r>
    </w:p>
    <w:p w14:paraId="76E3853C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>Colóquio Apresentação de Produções Acadêmicas</w:t>
      </w:r>
      <w:r>
        <w:rPr>
          <w:rFonts w:ascii="Arial" w:eastAsia="Arial" w:hAnsi="Arial" w:cs="Arial"/>
          <w:sz w:val="22"/>
          <w:szCs w:val="22"/>
          <w:highlight w:val="white"/>
        </w:rPr>
        <w:t> &lt;cappa.ufg@gmail.com&gt;. As comunicações devem estar de acordo com o formato descrito neste Edital CaPPa 2018 e todos os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autores devem fazer a sua inscrição via formulário. </w:t>
      </w:r>
    </w:p>
    <w:p w14:paraId="117B482F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Até 30 de abril de 2018: Data limite para o recebimento dos pareceres (atividade interna).</w:t>
      </w:r>
    </w:p>
    <w:p w14:paraId="418CF071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Até 7 de maio de 2018: Data limite para o recebimento das correções (em caso de aprovação de comunicação com ex</w:t>
      </w:r>
      <w:r>
        <w:rPr>
          <w:rFonts w:ascii="Arial" w:eastAsia="Arial" w:hAnsi="Arial" w:cs="Arial"/>
          <w:sz w:val="22"/>
          <w:szCs w:val="22"/>
          <w:highlight w:val="white"/>
        </w:rPr>
        <w:t>igência de alteração).</w:t>
      </w:r>
    </w:p>
    <w:p w14:paraId="56F0EFD3" w14:textId="77777777" w:rsidR="004C68E8" w:rsidRDefault="00220BAB">
      <w:pPr>
        <w:pStyle w:val="normal0"/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Até 14 de maio de 2018: Divulgação das comunicações aceitas e da programação final do evento. </w:t>
      </w:r>
    </w:p>
    <w:p w14:paraId="742D4425" w14:textId="77777777" w:rsidR="004C68E8" w:rsidRDefault="00220BAB">
      <w:pPr>
        <w:pStyle w:val="normal0"/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Até 14 de maio de 2018: data limite para inscrição na modalidade ouvinte. </w:t>
      </w:r>
    </w:p>
    <w:p w14:paraId="079C3F1F" w14:textId="77777777" w:rsidR="004C68E8" w:rsidRDefault="00220BAB">
      <w:pPr>
        <w:pStyle w:val="normal0"/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21 e 22</w:t>
      </w:r>
      <w:bookmarkStart w:id="0" w:name="_GoBack"/>
      <w:bookmarkEnd w:id="0"/>
      <w:r>
        <w:rPr>
          <w:rFonts w:ascii="Arial" w:eastAsia="Arial" w:hAnsi="Arial" w:cs="Arial"/>
          <w:color w:val="222222"/>
          <w:sz w:val="22"/>
          <w:szCs w:val="22"/>
        </w:rPr>
        <w:t xml:space="preserve"> de maio de 2017: 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5</w:t>
      </w:r>
      <w:r>
        <w:rPr>
          <w:rFonts w:ascii="Arial" w:eastAsia="Arial" w:hAnsi="Arial" w:cs="Arial"/>
          <w:b/>
          <w:sz w:val="22"/>
          <w:szCs w:val="22"/>
          <w:highlight w:val="white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 CAPPA - Colóquio Apresentação de Pr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oduções Acadêmicas</w:t>
      </w:r>
    </w:p>
    <w:p w14:paraId="102E4F86" w14:textId="77777777" w:rsidR="004C68E8" w:rsidRDefault="00220BA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</w:rPr>
        <w:lastRenderedPageBreak/>
        <w:t>2.6. Da publicação dos Anais (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ISSN 2527 1350)</w:t>
      </w:r>
    </w:p>
    <w:p w14:paraId="5BAD7130" w14:textId="77777777" w:rsidR="004C68E8" w:rsidRDefault="004C68E8">
      <w:pPr>
        <w:pStyle w:val="normal0"/>
        <w:rPr>
          <w:rFonts w:ascii="Arial" w:eastAsia="Arial" w:hAnsi="Arial" w:cs="Arial"/>
        </w:rPr>
      </w:pPr>
    </w:p>
    <w:p w14:paraId="27DC3068" w14:textId="77777777" w:rsidR="004C68E8" w:rsidRDefault="00220BAB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textos serão publicados ap</w:t>
      </w:r>
      <w:r>
        <w:rPr>
          <w:rFonts w:ascii="Arial" w:eastAsia="Arial" w:hAnsi="Arial" w:cs="Arial"/>
        </w:rPr>
        <w:t>ós a</w:t>
      </w:r>
      <w:r>
        <w:rPr>
          <w:rFonts w:ascii="Arial" w:eastAsia="Arial" w:hAnsi="Arial" w:cs="Arial"/>
        </w:rPr>
        <w:t xml:space="preserve"> realização do evento. Apenas os textos apresentados nos respectivos GTs serão publicados.</w:t>
      </w:r>
    </w:p>
    <w:sectPr w:rsidR="004C68E8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215"/>
    <w:multiLevelType w:val="multilevel"/>
    <w:tmpl w:val="390624D2"/>
    <w:lvl w:ilvl="0">
      <w:start w:val="15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68E8"/>
    <w:rsid w:val="00220BAB"/>
    <w:rsid w:val="004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79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8198</Characters>
  <Application>Microsoft Macintosh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</cp:lastModifiedBy>
  <cp:revision>2</cp:revision>
  <dcterms:created xsi:type="dcterms:W3CDTF">2018-03-28T20:13:00Z</dcterms:created>
  <dcterms:modified xsi:type="dcterms:W3CDTF">2018-03-28T20:13:00Z</dcterms:modified>
</cp:coreProperties>
</file>